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Chapter 22: </w:t>
        <w:br w:type="textWrapping"/>
        <w:t xml:space="preserve">Prokaryotes: Bacteria and Archaea</w:t>
      </w:r>
    </w:p>
    <w:p w:rsidR="00000000" w:rsidDel="00000000" w:rsidP="00000000" w:rsidRDefault="00000000" w:rsidRPr="00000000" w14:paraId="00000002">
      <w:pPr>
        <w:pStyle w:val="Heading4"/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Learning Objectives: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28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Biology I: I2 – Identify the evolutionary processes that lead to adaptation and biological diversity; I3 – Describe how the unity and diversity of life on earth emerge as a result of genetic inheritance through DNA and evolution by natural selection; II8 – Recognize cells as the basic unit of life in all living organisms; compare and contrast the differences between prokaryotic and eukaryotic cells; III3 – Describe the structure, function, and reproduction of cells, including viruses and microorganisms; V3 – Explain how cell regulatory mechanisms ensure balance in living systems that interact continuously with their environments; V5 – Describe the process of energy transfer from its source (the sun) through biological systems.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80" w:before="0" w:lineRule="auto"/>
        <w:ind w:left="720" w:hanging="360"/>
        <w:rPr>
          <w:rFonts w:ascii="Arial" w:cs="Arial" w:eastAsia="Arial" w:hAnsi="Arial"/>
          <w:color w:val="000000"/>
          <w:sz w:val="17"/>
          <w:szCs w:val="17"/>
        </w:rPr>
      </w:pPr>
      <w:r w:rsidDel="00000000" w:rsidR="00000000" w:rsidRPr="00000000">
        <w:rPr>
          <w:rFonts w:ascii="Arial" w:cs="Arial" w:eastAsia="Arial" w:hAnsi="Arial"/>
          <w:color w:val="000000"/>
          <w:sz w:val="17"/>
          <w:szCs w:val="17"/>
          <w:rtl w:val="0"/>
        </w:rPr>
        <w:t xml:space="preserve">Biology II: I3 – Describe the evidence that endosymbiotic events resulted in the evolution of eukaryotic cells from prokaryotic ancestors; II3 – Recognize cells as the basic unit of life in all living organisms; compare and contrast the differences between prokaryotic and eukaryotic cells; V1 – Explain how regulatory mechanisms at the level of the whole organism ensure balance in living systems that interact continuously with their environments; compare regulatory mechanisms within and across species; V2 – Describe the relationship between life forms and their environment and ecosystems; V3 – Describe the different types of relationships that exist between living organisms.</w:t>
      </w:r>
    </w:p>
    <w:p w:rsidR="00000000" w:rsidDel="00000000" w:rsidP="00000000" w:rsidRDefault="00000000" w:rsidRPr="00000000" w14:paraId="00000005">
      <w:pPr>
        <w:ind w:left="360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1. Group Project: Read the “Everyday Connection” on p. 618. Prepare a five minute in-class presentation on one of these topics.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1. Fecal transplants starting from: https://www.hopkinsmedicine.org/gastroenterology_hepatology/clinical_services/advanced_endoscopy/fecal_transplantation.html</w:t>
        <w:br w:type="textWrapping"/>
        <w:t xml:space="preserve">2. Normal gut microbiota and mental diseases using these recommended sources: https://www.scientificamerican.com/article/mental-health-may-depend-on-creatures-in-the-gut/ https://www.ncbi.nlm.nih.gov/pmc/articles/PMC5641835/</w:t>
        <w:br w:type="textWrapping"/>
        <w:t xml:space="preserve">https://www.ncbi.nlm.nih.gov/pmc/articles/PMC5987167/ </w:t>
        <w:br w:type="textWrapping"/>
        <w:t xml:space="preserve">3. The hygiene hypothesis starting from this source:</w:t>
        <w:br w:type="textWrapping"/>
        <w:t xml:space="preserve">https://www.fda.gov/vaccines-blood-biologics/consumers-biologics/asthma-hygiene-hypothesis</w:t>
        <w:br w:type="textWrapping"/>
        <w:t xml:space="preserve">4. The Wakefield vaccine fraud is likely to go down as one of the most serious frauds in medical history. Start with the reference below and show that the anti-vaccine movement is based on falsified information and medical fraud.</w:t>
        <w:br w:type="textWrapping"/>
        <w:t xml:space="preserve">https://www.ncbi.nlm.nih.gov/pmc/articles/PMC3136032/</w:t>
        <w:br w:type="textWrapping"/>
        <w:t xml:space="preserve">http://www.cnn.com/2011/HEALTH/01/05/autism.vaccines/index.html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 In-Class Project:</w:t>
        <w:br w:type="textWrapping"/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A) Find the correct answers to Review Questions #4 to 16 on page 625. Note the page of Chapter 22 on which you found the answer.  Be prepared to share your group’s answers with the rest of the learning community.</w:t>
      </w:r>
    </w:p>
    <w:p w:rsidR="00000000" w:rsidDel="00000000" w:rsidP="00000000" w:rsidRDefault="00000000" w:rsidRPr="00000000" w14:paraId="00000007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B) Find the correct answers to Review Questions #17 to 29 on pages 625 and 626. Note the page of Chapter 22 on which you found the answer. Be prepared to share your group’s answers with the rest of the learning community.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 Outside of Class Homework:</w:t>
        <w:br w:type="textWrapping"/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Answer the following Critical Thinking Questions on page 626: 31, 35, 38, 39, 41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728" w:left="1152" w:right="1152" w:header="432" w:footer="4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240" w:before="120" w:line="240" w:lineRule="auto"/>
      <w:ind w:left="576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-612766</wp:posOffset>
          </wp:positionH>
          <wp:positionV relativeFrom="paragraph">
            <wp:posOffset>10688</wp:posOffset>
          </wp:positionV>
          <wp:extent cx="7584656" cy="948889"/>
          <wp:effectExtent b="0" l="0" r="0" t="0"/>
          <wp:wrapSquare wrapText="bothSides" distB="0" distT="0" distL="0" distR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7116" l="-1118" r="1118" t="19192"/>
                  <a:stretch>
                    <a:fillRect/>
                  </a:stretch>
                </pic:blipFill>
                <pic:spPr>
                  <a:xfrm>
                    <a:off x="0" y="0"/>
                    <a:ext cx="7584656" cy="9488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97808" y="3077690"/>
                        <a:ext cx="409638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40" w:before="120" w:line="240"/>
                            <w:ind w:left="575.9999847412109" w:right="0" w:firstLine="575.9999847412109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8"/>
                              <w:vertAlign w:val="baseline"/>
                            </w:rPr>
                            <w:t xml:space="preserve">Biology Assessment Activity 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134620</wp:posOffset>
              </wp:positionV>
              <wp:extent cx="4105910" cy="1414145"/>
              <wp:effectExtent b="0" l="0" r="0" t="0"/>
              <wp:wrapSquare wrapText="bothSides" distB="45720" distT="4572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05910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ffffff"/>
        <w:sz w:val="32"/>
        <w:szCs w:val="32"/>
        <w:u w:val="none"/>
        <w:shd w:fill="auto" w:val="clear"/>
        <w:vertAlign w:val="baseline"/>
        <w:rtl w:val="0"/>
      </w:rPr>
      <w:t xml:space="preserve">                                                                                       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936"/>
      </w:tabs>
      <w:spacing w:after="120" w:before="120" w:line="240" w:lineRule="auto"/>
      <w:ind w:left="0" w:right="0" w:firstLine="576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8"/>
        <w:szCs w:val="28"/>
        <w:lang w:val="en-US"/>
      </w:rPr>
    </w:rPrDefault>
    <w:pPrDefault>
      <w:pPr>
        <w:spacing w:after="240" w:before="120" w:lineRule="auto"/>
        <w:ind w:left="576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bottom w:color="000000" w:space="0" w:sz="12" w:val="single"/>
      </w:pBdr>
      <w:spacing w:before="480" w:lineRule="auto"/>
      <w:ind w:left="0"/>
    </w:pPr>
    <w:rPr>
      <w:b w:val="1"/>
      <w:color w:val="1f3864"/>
      <w:sz w:val="48"/>
      <w:szCs w:val="48"/>
    </w:rPr>
  </w:style>
  <w:style w:type="paragraph" w:styleId="Heading2">
    <w:name w:val="heading 2"/>
    <w:basedOn w:val="Normal"/>
    <w:next w:val="Normal"/>
    <w:pPr>
      <w:spacing w:after="80" w:before="240" w:lineRule="auto"/>
    </w:pPr>
    <w:rPr>
      <w:b w:val="1"/>
      <w:color w:val="1f4e79"/>
      <w:sz w:val="48"/>
      <w:szCs w:val="48"/>
    </w:rPr>
  </w:style>
  <w:style w:type="paragraph" w:styleId="Heading3">
    <w:name w:val="heading 3"/>
    <w:basedOn w:val="Normal"/>
    <w:next w:val="Normal"/>
    <w:pPr>
      <w:spacing w:after="80" w:before="200" w:lineRule="auto"/>
    </w:pPr>
    <w:rPr>
      <w:rFonts w:ascii="Calibri" w:cs="Calibri" w:eastAsia="Calibri" w:hAnsi="Calibri"/>
      <w:b w:val="1"/>
      <w:color w:val="171717"/>
      <w:sz w:val="36"/>
      <w:szCs w:val="36"/>
    </w:rPr>
  </w:style>
  <w:style w:type="paragraph" w:styleId="Heading4">
    <w:name w:val="heading 4"/>
    <w:basedOn w:val="Normal"/>
    <w:next w:val="Normal"/>
    <w:pPr>
      <w:spacing w:after="80" w:before="120" w:lineRule="auto"/>
    </w:pPr>
    <w:rPr>
      <w:rFonts w:ascii="Calibri" w:cs="Calibri" w:eastAsia="Calibri" w:hAnsi="Calibri"/>
      <w:b w:val="1"/>
      <w:color w:val="171717"/>
      <w:sz w:val="28"/>
      <w:szCs w:val="28"/>
    </w:rPr>
  </w:style>
  <w:style w:type="paragraph" w:styleId="Heading5">
    <w:name w:val="heading 5"/>
    <w:basedOn w:val="Normal"/>
    <w:next w:val="Normal"/>
    <w:pPr>
      <w:spacing w:after="80" w:before="200" w:lineRule="auto"/>
    </w:pPr>
    <w:rPr>
      <w:rFonts w:ascii="Calibri" w:cs="Calibri" w:eastAsia="Calibri" w:hAnsi="Calibri"/>
      <w:color w:val="5b9bd5"/>
    </w:rPr>
  </w:style>
  <w:style w:type="paragraph" w:styleId="Heading6">
    <w:name w:val="heading 6"/>
    <w:basedOn w:val="Normal"/>
    <w:next w:val="Normal"/>
    <w:pPr>
      <w:spacing w:after="100" w:before="280" w:lineRule="auto"/>
    </w:pPr>
    <w:rPr>
      <w:rFonts w:ascii="Calibri" w:cs="Calibri" w:eastAsia="Calibri" w:hAnsi="Calibri"/>
      <w:i w:val="1"/>
      <w:color w:val="5b9bd5"/>
    </w:rPr>
  </w:style>
  <w:style w:type="paragraph" w:styleId="Title">
    <w:name w:val="Title"/>
    <w:basedOn w:val="Normal"/>
    <w:next w:val="Normal"/>
    <w:pPr>
      <w:pBdr>
        <w:top w:color="adcdea" w:space="10" w:sz="8" w:val="single"/>
        <w:bottom w:color="a5a5a5" w:space="15" w:sz="24" w:val="single"/>
      </w:pBdr>
      <w:jc w:val="center"/>
    </w:pPr>
    <w:rPr>
      <w:rFonts w:ascii="Calibri" w:cs="Calibri" w:eastAsia="Calibri" w:hAnsi="Calibri"/>
      <w:i w:val="1"/>
      <w:color w:val="1e4d78"/>
      <w:sz w:val="60"/>
      <w:szCs w:val="60"/>
    </w:rPr>
  </w:style>
  <w:style w:type="paragraph" w:styleId="Subtitle">
    <w:name w:val="Subtitle"/>
    <w:basedOn w:val="Normal"/>
    <w:next w:val="Normal"/>
    <w:pPr>
      <w:spacing w:after="900" w:before="200" w:lineRule="auto"/>
      <w:jc w:val="right"/>
    </w:pPr>
    <w:rPr>
      <w:i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