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39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120" w:before="28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Explain the physiological changes (respiratory, cardiovascular, and otherwise) that humans encounter at high altitudes.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Understand the pathophysiology of pulmonary edema.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Evaluate physiological data in a “clinical” setting to make a diagnosis.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Understand the integration of the cardiovascular, respiratory, and nervous systems in regulating homeostatic variables such as blood gas levels, pH, etc.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120" w:before="0" w:lineRule="auto"/>
        <w:ind w:left="0" w:hanging="360"/>
        <w:rPr>
          <w:rFonts w:ascii="Arial" w:cs="Arial" w:eastAsia="Arial" w:hAnsi="Arial"/>
          <w:color w:val="444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4452f"/>
          <w:sz w:val="24"/>
          <w:szCs w:val="24"/>
          <w:rtl w:val="0"/>
        </w:rPr>
        <w:t xml:space="preserve">Recognize the multiple influences on blood pH.</w:t>
      </w:r>
    </w:p>
    <w:p w:rsidR="00000000" w:rsidDel="00000000" w:rsidP="00000000" w:rsidRDefault="00000000" w:rsidRPr="00000000" w14:paraId="00000008">
      <w:pPr>
        <w:spacing w:after="280" w:before="280" w:lineRule="auto"/>
        <w:ind w:left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Distribute the “Into Thin Air” case study to class ~1 week prior to in-class case study time. Have students get into groups of 3-4 students or assign students into groups of 3-4 students. Have students discuss the case study amongst their group. Each group submits a paper with their respective group’s answers to each of the questions. </w:t>
      </w:r>
    </w:p>
    <w:p w:rsidR="00000000" w:rsidDel="00000000" w:rsidP="00000000" w:rsidRDefault="00000000" w:rsidRPr="00000000" w14:paraId="0000000A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can also distribute the case study part by part so the case study work can encompass several weeks (weeks dependent on how often class meets, etc.). Give students ~20-30 minutes per class to work on the respective part. </w:t>
      </w:r>
    </w:p>
    <w:p w:rsidR="00000000" w:rsidDel="00000000" w:rsidP="00000000" w:rsidRDefault="00000000" w:rsidRPr="00000000" w14:paraId="0000000B">
      <w:pPr>
        <w:spacing w:after="280" w:before="280" w:lineRule="auto"/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ou0vbsawjy2a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this case study can be distributed as the instructor sees fit. </w:t>
      </w:r>
    </w:p>
    <w:p w:rsidR="00000000" w:rsidDel="00000000" w:rsidP="00000000" w:rsidRDefault="00000000" w:rsidRPr="00000000" w14:paraId="0000000C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Access this case study using this link -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http://sciencecases.lib.buffalo.edu/cs/collection/detail.asp?case_id=452&amp;id=452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-612765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" w:right="0" w:firstLine="115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121920</wp:posOffset>
              </wp:positionV>
              <wp:extent cx="4115435" cy="142367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5435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32"/>
        <w:szCs w:val="32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color w:val="ffffff"/>
        <w:sz w:val="32"/>
        <w:szCs w:val="32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936"/>
      </w:tabs>
      <w:spacing w:after="120" w:lineRule="auto"/>
      <w:ind w:left="0" w:firstLine="576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lineRule="auto"/>
    </w:pPr>
    <w:rPr>
      <w:b w:val="1"/>
      <w:color w:val="171717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sciencecases.lib.buffalo.edu/cs/collection/detail.asp?case_id=452&amp;id=452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